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368F" w14:textId="77777777" w:rsidR="00D00D5D" w:rsidRPr="007106D8" w:rsidRDefault="00D00D5D" w:rsidP="00D00D5D">
      <w:pPr>
        <w:pStyle w:val="PreformattedText"/>
        <w:rPr>
          <w:rFonts w:ascii="Times New Roman" w:hAnsi="Times New Roman"/>
          <w:sz w:val="24"/>
          <w:szCs w:val="24"/>
        </w:rPr>
      </w:pPr>
      <w:r w:rsidRPr="007106D8">
        <w:rPr>
          <w:rFonts w:ascii="Times New Roman" w:hAnsi="Times New Roman"/>
          <w:sz w:val="24"/>
          <w:szCs w:val="24"/>
        </w:rPr>
        <w:t>More specialized diagnostic laboratory testing to consider patients with post-COVID conditions</w:t>
      </w:r>
    </w:p>
    <w:p w14:paraId="49100D80" w14:textId="77777777" w:rsidR="00D00D5D" w:rsidRDefault="00D00D5D" w:rsidP="00D00D5D">
      <w:pPr>
        <w:rPr>
          <w:rFonts w:hint="eastAsia"/>
        </w:rPr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D00D5D" w:rsidRPr="007106D8" w14:paraId="4EC4FDE7" w14:textId="77777777" w:rsidTr="00634A00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2C397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3466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LAB   TESTS</w:t>
            </w:r>
          </w:p>
        </w:tc>
      </w:tr>
      <w:tr w:rsidR="00D00D5D" w:rsidRPr="007106D8" w14:paraId="2C62ADD1" w14:textId="77777777" w:rsidTr="00634A00"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</w:tcPr>
          <w:p w14:paraId="764D6061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Rheumatological conditions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64CC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Antinuclear antibody, rheumatoid factor, anti-cyclic citrullinated peptide, anti-cardiolipin and creatine phosphokinase</w:t>
            </w:r>
          </w:p>
        </w:tc>
      </w:tr>
      <w:tr w:rsidR="00D00D5D" w:rsidRPr="007106D8" w14:paraId="55360247" w14:textId="77777777" w:rsidTr="00634A00"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</w:tcPr>
          <w:p w14:paraId="60B2FE3F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Coagulation disorder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9020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D-dimer, fibrinogen</w:t>
            </w:r>
          </w:p>
        </w:tc>
      </w:tr>
      <w:tr w:rsidR="00D00D5D" w:rsidRPr="007106D8" w14:paraId="410E9199" w14:textId="77777777" w:rsidTr="00634A00"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</w:tcPr>
          <w:p w14:paraId="140231CA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Myocardial injury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DD9D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Troponin</w:t>
            </w:r>
          </w:p>
        </w:tc>
      </w:tr>
      <w:tr w:rsidR="00D00D5D" w:rsidRPr="007106D8" w14:paraId="67380B47" w14:textId="77777777" w:rsidTr="00634A00"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</w:tcPr>
          <w:p w14:paraId="66F471F2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Differentiate symptoms of cardiac versus pulmonary origin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492C" w14:textId="77777777" w:rsidR="00D00D5D" w:rsidRPr="007106D8" w:rsidRDefault="00D00D5D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 w:rsidRPr="007106D8">
              <w:rPr>
                <w:rFonts w:ascii="Times New Roman" w:hAnsi="Times New Roman" w:cs="Liberation Mono"/>
                <w:sz w:val="22"/>
                <w:szCs w:val="22"/>
              </w:rPr>
              <w:t>B-type natriuretic peptide</w:t>
            </w:r>
          </w:p>
        </w:tc>
      </w:tr>
    </w:tbl>
    <w:p w14:paraId="6C158B04" w14:textId="77777777" w:rsidR="00D00D5D" w:rsidRDefault="00D00D5D" w:rsidP="00D00D5D">
      <w:pPr>
        <w:rPr>
          <w:rFonts w:hint="eastAsia"/>
        </w:rPr>
      </w:pPr>
    </w:p>
    <w:p w14:paraId="356FE43F" w14:textId="77777777" w:rsidR="00F05761" w:rsidRDefault="00F05761"/>
    <w:sectPr w:rsidR="00F0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5D"/>
    <w:rsid w:val="00D00D5D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34C8"/>
  <w15:chartTrackingRefBased/>
  <w15:docId w15:val="{CC055E07-6502-4FBD-B66D-C82D9FE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5D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00D5D"/>
    <w:pPr>
      <w:suppressLineNumbers/>
    </w:pPr>
  </w:style>
  <w:style w:type="paragraph" w:customStyle="1" w:styleId="PreformattedText">
    <w:name w:val="Preformatted Text"/>
    <w:basedOn w:val="Normal"/>
    <w:qFormat/>
    <w:rsid w:val="00D00D5D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Cindy</dc:creator>
  <cp:keywords/>
  <dc:description/>
  <cp:lastModifiedBy>Warren, Cindy</cp:lastModifiedBy>
  <cp:revision>1</cp:revision>
  <dcterms:created xsi:type="dcterms:W3CDTF">2022-02-24T18:52:00Z</dcterms:created>
  <dcterms:modified xsi:type="dcterms:W3CDTF">2022-02-24T18:52:00Z</dcterms:modified>
</cp:coreProperties>
</file>